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57C0E" w:rsidRDefault="00757C0E">
      <w:pPr>
        <w:rPr>
          <w:rFonts w:ascii="Tw Cen MT" w:hAnsi="Tw Cen MT"/>
          <w:b/>
          <w:bCs/>
        </w:rPr>
      </w:pPr>
      <w:bookmarkStart w:id="0" w:name="_GoBack"/>
      <w:bookmarkEnd w:id="0"/>
      <w:r>
        <w:rPr>
          <w:rFonts w:ascii="Tw Cen MT" w:hAnsi="Tw Cen MT"/>
          <w:b/>
          <w:bCs/>
          <w:sz w:val="28"/>
          <w:szCs w:val="28"/>
        </w:rPr>
        <w:t xml:space="preserve">Patienteninformation zur Dry Needling Behandlung </w:t>
      </w:r>
    </w:p>
    <w:p w:rsidR="00757C0E" w:rsidRDefault="00757C0E">
      <w:pPr>
        <w:rPr>
          <w:rFonts w:ascii="Tw Cen MT" w:hAnsi="Tw Cen MT"/>
          <w:b/>
          <w:bCs/>
        </w:rPr>
      </w:pPr>
    </w:p>
    <w:p w:rsidR="00757C0E" w:rsidRDefault="00757C0E">
      <w:pPr>
        <w:rPr>
          <w:rFonts w:ascii="Tw Cen MT" w:hAnsi="Tw Cen MT"/>
          <w:b/>
          <w:bCs/>
        </w:rPr>
      </w:pPr>
    </w:p>
    <w:p w:rsidR="00757C0E" w:rsidRDefault="00757C0E">
      <w:pPr>
        <w:rPr>
          <w:rFonts w:ascii="Tw Cen MT" w:hAnsi="Tw Cen MT"/>
        </w:rPr>
      </w:pPr>
      <w:r>
        <w:rPr>
          <w:rFonts w:ascii="Tw Cen MT" w:hAnsi="Tw Cen MT"/>
        </w:rPr>
        <w:t>Unter Dry Needling versteht man den Gebrauch von sterilen Einweg-Akupunkturnadeln zur Behandlung von Schmerzen und Dysfunktionen am Bewegungsapparat. Es werden myofasziale Triggerpunkte und Faszien behandelt. Dies findet unter Berücksichtigung der schweizerischen Richtlinien für sicheres Dry Needling des Dry Needling Verbandes Schweiz (DVS) statt.</w:t>
      </w:r>
    </w:p>
    <w:p w:rsidR="00757C0E" w:rsidRDefault="00757C0E">
      <w:pPr>
        <w:rPr>
          <w:rFonts w:ascii="Tw Cen MT" w:hAnsi="Tw Cen MT"/>
        </w:rPr>
      </w:pPr>
      <w:r>
        <w:rPr>
          <w:rFonts w:ascii="Tw Cen MT" w:hAnsi="Tw Cen MT"/>
        </w:rPr>
        <w:t xml:space="preserve">Die Richtlinien sind auf der Website des DVS verfügbar (www.dryneedling.ch). </w:t>
      </w:r>
    </w:p>
    <w:p w:rsidR="00757C0E" w:rsidRDefault="00757C0E">
      <w:pPr>
        <w:rPr>
          <w:rFonts w:ascii="Tw Cen MT" w:hAnsi="Tw Cen MT"/>
        </w:rPr>
      </w:pPr>
    </w:p>
    <w:p w:rsidR="00757C0E" w:rsidRDefault="00757C0E">
      <w:pPr>
        <w:rPr>
          <w:rFonts w:ascii="Tw Cen MT" w:hAnsi="Tw Cen MT"/>
        </w:rPr>
      </w:pPr>
      <w:r>
        <w:rPr>
          <w:rFonts w:ascii="Tw Cen MT" w:hAnsi="Tw Cen MT"/>
          <w:b/>
          <w:bCs/>
        </w:rPr>
        <w:t xml:space="preserve">Mögliche Nebenwirkungen und Komplikationen: </w:t>
      </w:r>
    </w:p>
    <w:p w:rsidR="00757C0E" w:rsidRDefault="00757C0E">
      <w:pPr>
        <w:rPr>
          <w:rFonts w:ascii="Tw Cen MT" w:hAnsi="Tw Cen MT"/>
        </w:rPr>
      </w:pPr>
      <w:r>
        <w:rPr>
          <w:rFonts w:ascii="Tw Cen MT" w:hAnsi="Tw Cen MT"/>
        </w:rPr>
        <w:t xml:space="preserve">Ihre Therapeutin verfügen über fundierte Kenntnisse der Anatomie, Indikationen, Kontraindikationen und Hygienevorschriften. Das Dry Needling wird unter Berücksichtigung aller Sicherheits- und Vorsichtsmaßnahmen angewendet. Trotz sachgerechter Ausführung des Dry Needling kann es zu Nebenwirkungen kommen. </w:t>
      </w:r>
    </w:p>
    <w:p w:rsidR="00757C0E" w:rsidRDefault="00757C0E">
      <w:pPr>
        <w:rPr>
          <w:rFonts w:ascii="Tw Cen MT" w:hAnsi="Tw Cen MT"/>
        </w:rPr>
      </w:pPr>
      <w:r>
        <w:rPr>
          <w:rFonts w:ascii="Tw Cen MT" w:hAnsi="Tw Cen MT"/>
        </w:rPr>
        <w:t xml:space="preserve">Zu den </w:t>
      </w:r>
      <w:proofErr w:type="gramStart"/>
      <w:r>
        <w:rPr>
          <w:rFonts w:ascii="Tw Cen MT" w:hAnsi="Tw Cen MT"/>
        </w:rPr>
        <w:t>am häufigsten auftretenden Nebenwirkungen</w:t>
      </w:r>
      <w:proofErr w:type="gramEnd"/>
      <w:r>
        <w:rPr>
          <w:rFonts w:ascii="Tw Cen MT" w:hAnsi="Tw Cen MT"/>
        </w:rPr>
        <w:t xml:space="preserve"> gehören </w:t>
      </w:r>
    </w:p>
    <w:p w:rsidR="00757C0E" w:rsidRDefault="00757C0E">
      <w:pPr>
        <w:numPr>
          <w:ilvl w:val="0"/>
          <w:numId w:val="1"/>
        </w:numPr>
        <w:rPr>
          <w:rFonts w:ascii="Tw Cen MT" w:hAnsi="Tw Cen MT"/>
        </w:rPr>
      </w:pPr>
      <w:r>
        <w:rPr>
          <w:rFonts w:ascii="Tw Cen MT" w:hAnsi="Tw Cen MT"/>
        </w:rPr>
        <w:t>das lokale Hämatom am Ort der Behandlung, sowie</w:t>
      </w:r>
    </w:p>
    <w:p w:rsidR="00757C0E" w:rsidRDefault="00757C0E">
      <w:pPr>
        <w:numPr>
          <w:ilvl w:val="0"/>
          <w:numId w:val="1"/>
        </w:numPr>
        <w:rPr>
          <w:rFonts w:ascii="Tw Cen MT" w:hAnsi="Tw Cen MT"/>
        </w:rPr>
      </w:pPr>
      <w:r>
        <w:rPr>
          <w:rFonts w:ascii="Tw Cen MT" w:hAnsi="Tw Cen MT"/>
        </w:rPr>
        <w:t xml:space="preserve">ein muskelkaterähnliches Gefühl an der behandelten Stelle, welches einige Tage andauern kann. </w:t>
      </w:r>
    </w:p>
    <w:p w:rsidR="00757C0E" w:rsidRDefault="00757C0E">
      <w:pPr>
        <w:rPr>
          <w:rFonts w:ascii="Tw Cen MT" w:hAnsi="Tw Cen MT"/>
        </w:rPr>
      </w:pPr>
      <w:r>
        <w:rPr>
          <w:rFonts w:ascii="Tw Cen MT" w:hAnsi="Tw Cen MT"/>
        </w:rPr>
        <w:t xml:space="preserve">Des Weiteren kann es bei der Behandlung mit Dry Needling zu folgenden, sehr selten auftretenden Komplikationen kommen: </w:t>
      </w:r>
    </w:p>
    <w:p w:rsidR="00757C0E" w:rsidRDefault="00757C0E">
      <w:pPr>
        <w:numPr>
          <w:ilvl w:val="0"/>
          <w:numId w:val="2"/>
        </w:numPr>
        <w:rPr>
          <w:rFonts w:ascii="Tw Cen MT" w:hAnsi="Tw Cen MT"/>
        </w:rPr>
      </w:pPr>
      <w:r>
        <w:rPr>
          <w:rFonts w:ascii="Tw Cen MT" w:hAnsi="Tw Cen MT"/>
        </w:rPr>
        <w:t>vegetative Symptome (Schwindel, Ohnmacht, usw.)</w:t>
      </w:r>
    </w:p>
    <w:p w:rsidR="00757C0E" w:rsidRDefault="00757C0E">
      <w:pPr>
        <w:numPr>
          <w:ilvl w:val="0"/>
          <w:numId w:val="2"/>
        </w:numPr>
        <w:rPr>
          <w:rFonts w:ascii="Tw Cen MT" w:hAnsi="Tw Cen MT"/>
        </w:rPr>
      </w:pPr>
      <w:r>
        <w:rPr>
          <w:rFonts w:ascii="Tw Cen MT" w:hAnsi="Tw Cen MT"/>
        </w:rPr>
        <w:t>Infektionen</w:t>
      </w:r>
    </w:p>
    <w:p w:rsidR="00757C0E" w:rsidRPr="003812E5" w:rsidRDefault="00757C0E" w:rsidP="003812E5">
      <w:pPr>
        <w:numPr>
          <w:ilvl w:val="0"/>
          <w:numId w:val="2"/>
        </w:numPr>
        <w:rPr>
          <w:rFonts w:ascii="Tw Cen MT" w:hAnsi="Tw Cen MT"/>
        </w:rPr>
      </w:pPr>
      <w:r>
        <w:rPr>
          <w:rFonts w:ascii="Tw Cen MT" w:hAnsi="Tw Cen MT"/>
        </w:rPr>
        <w:t>allergischen Reaktion z.B. auf Nickel</w:t>
      </w:r>
    </w:p>
    <w:p w:rsidR="00757C0E" w:rsidRDefault="00757C0E">
      <w:pPr>
        <w:numPr>
          <w:ilvl w:val="0"/>
          <w:numId w:val="2"/>
        </w:numPr>
        <w:rPr>
          <w:rFonts w:ascii="Tw Cen MT" w:hAnsi="Tw Cen MT"/>
        </w:rPr>
      </w:pPr>
      <w:r>
        <w:rPr>
          <w:rFonts w:ascii="Tw Cen MT" w:hAnsi="Tw Cen MT"/>
        </w:rPr>
        <w:t xml:space="preserve">Verletzungen von </w:t>
      </w:r>
      <w:r w:rsidR="003812E5">
        <w:rPr>
          <w:rFonts w:ascii="Tw Cen MT" w:hAnsi="Tw Cen MT"/>
        </w:rPr>
        <w:t xml:space="preserve">anderen Organen, z.B. </w:t>
      </w:r>
      <w:r>
        <w:rPr>
          <w:rFonts w:ascii="Tw Cen MT" w:hAnsi="Tw Cen MT"/>
        </w:rPr>
        <w:t xml:space="preserve">Nerven oder Gefäßen sowie </w:t>
      </w:r>
    </w:p>
    <w:p w:rsidR="00757C0E" w:rsidRDefault="00757C0E">
      <w:pPr>
        <w:numPr>
          <w:ilvl w:val="0"/>
          <w:numId w:val="2"/>
        </w:numPr>
        <w:rPr>
          <w:rFonts w:ascii="Tw Cen MT" w:hAnsi="Tw Cen MT"/>
        </w:rPr>
      </w:pPr>
      <w:r>
        <w:rPr>
          <w:rFonts w:ascii="Tw Cen MT" w:hAnsi="Tw Cen MT"/>
        </w:rPr>
        <w:t xml:space="preserve">Abbrechen der Nadel. </w:t>
      </w:r>
    </w:p>
    <w:p w:rsidR="00757C0E" w:rsidRDefault="00757C0E">
      <w:pPr>
        <w:rPr>
          <w:rFonts w:ascii="Tw Cen MT" w:hAnsi="Tw Cen MT"/>
        </w:rPr>
      </w:pPr>
    </w:p>
    <w:p w:rsidR="00757C0E" w:rsidRDefault="00757C0E">
      <w:pPr>
        <w:rPr>
          <w:rFonts w:ascii="Tw Cen MT" w:hAnsi="Tw Cen MT"/>
        </w:rPr>
      </w:pPr>
    </w:p>
    <w:p w:rsidR="00757C0E" w:rsidRDefault="00757C0E">
      <w:r>
        <w:rPr>
          <w:rFonts w:ascii="Tw Cen MT" w:hAnsi="Tw Cen MT"/>
          <w:b/>
          <w:bCs/>
        </w:rPr>
        <w:t>Ergänzende fallbezogene Hinweise des Therapeuten (bei Bedarf):</w:t>
      </w:r>
    </w:p>
    <w:p w:rsidR="00757C0E" w:rsidRDefault="00C5676E">
      <w:pPr>
        <w:rPr>
          <w:rFonts w:ascii="Tw Cen MT" w:hAnsi="Tw Cen MT"/>
        </w:rPr>
      </w:pPr>
      <w:r>
        <w:rPr>
          <w:noProof/>
        </w:rPr>
        <mc:AlternateContent>
          <mc:Choice Requires="wps">
            <w:drawing>
              <wp:anchor distT="0" distB="0" distL="114300" distR="114300" simplePos="0" relativeHeight="251657728" behindDoc="0" locked="0" layoutInCell="1" allowOverlap="1">
                <wp:simplePos x="0" y="0"/>
                <wp:positionH relativeFrom="column">
                  <wp:posOffset>59690</wp:posOffset>
                </wp:positionH>
                <wp:positionV relativeFrom="paragraph">
                  <wp:posOffset>53975</wp:posOffset>
                </wp:positionV>
                <wp:extent cx="5979160" cy="909955"/>
                <wp:effectExtent l="0" t="0" r="2540" b="444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9160" cy="909955"/>
                        </a:xfrm>
                        <a:prstGeom prst="rect">
                          <a:avLst/>
                        </a:prstGeom>
                        <a:solidFill>
                          <a:srgbClr val="FFFFFF"/>
                        </a:solidFill>
                        <a:ln w="9525">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49ED58" id="Rectangle 2" o:spid="_x0000_s1026" style="position:absolute;margin-left:4.7pt;margin-top:4.25pt;width:470.8pt;height:71.6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" strokecolor="gray">
                <v:stroke joinstyle="round"/>
                <v:path arrowok="t"/>
              </v:rect>
            </w:pict>
          </mc:Fallback>
        </mc:AlternateContent>
      </w:r>
    </w:p>
    <w:p w:rsidR="00757C0E" w:rsidRDefault="00757C0E">
      <w:pPr>
        <w:rPr>
          <w:rFonts w:ascii="Tw Cen MT" w:hAnsi="Tw Cen MT"/>
        </w:rPr>
      </w:pPr>
    </w:p>
    <w:p w:rsidR="00757C0E" w:rsidRDefault="00757C0E">
      <w:pPr>
        <w:rPr>
          <w:rFonts w:ascii="Tw Cen MT" w:hAnsi="Tw Cen MT"/>
        </w:rPr>
      </w:pPr>
    </w:p>
    <w:p w:rsidR="00757C0E" w:rsidRDefault="00757C0E">
      <w:pPr>
        <w:rPr>
          <w:rFonts w:ascii="Tw Cen MT" w:hAnsi="Tw Cen MT"/>
          <w:b/>
          <w:bCs/>
        </w:rPr>
      </w:pPr>
    </w:p>
    <w:p w:rsidR="00757C0E" w:rsidRDefault="00757C0E">
      <w:pPr>
        <w:rPr>
          <w:rFonts w:ascii="Tw Cen MT" w:hAnsi="Tw Cen MT"/>
          <w:b/>
          <w:bCs/>
        </w:rPr>
      </w:pPr>
    </w:p>
    <w:p w:rsidR="00757C0E" w:rsidRDefault="00757C0E">
      <w:pPr>
        <w:rPr>
          <w:rFonts w:ascii="Tw Cen MT" w:hAnsi="Tw Cen MT"/>
          <w:b/>
          <w:bCs/>
        </w:rPr>
      </w:pPr>
    </w:p>
    <w:p w:rsidR="00757C0E" w:rsidRDefault="00757C0E">
      <w:pPr>
        <w:rPr>
          <w:rFonts w:ascii="Tw Cen MT" w:hAnsi="Tw Cen MT"/>
          <w:b/>
          <w:bCs/>
        </w:rPr>
      </w:pPr>
    </w:p>
    <w:p w:rsidR="00757C0E" w:rsidRDefault="00757C0E">
      <w:pPr>
        <w:rPr>
          <w:rFonts w:ascii="Tw Cen MT" w:hAnsi="Tw Cen MT"/>
          <w:b/>
          <w:bCs/>
        </w:rPr>
      </w:pPr>
    </w:p>
    <w:p w:rsidR="00757C0E" w:rsidRDefault="00757C0E">
      <w:pPr>
        <w:rPr>
          <w:rFonts w:ascii="Tw Cen MT" w:hAnsi="Tw Cen MT"/>
          <w:b/>
          <w:bCs/>
        </w:rPr>
      </w:pPr>
      <w:r>
        <w:rPr>
          <w:rFonts w:ascii="Tw Cen MT" w:hAnsi="Tw Cen MT"/>
          <w:b/>
          <w:bCs/>
        </w:rPr>
        <w:t>Patientenerklärung</w:t>
      </w:r>
    </w:p>
    <w:p w:rsidR="00757C0E" w:rsidRDefault="00757C0E">
      <w:pPr>
        <w:rPr>
          <w:rFonts w:ascii="Tw Cen MT" w:hAnsi="Tw Cen MT"/>
          <w:b/>
          <w:bCs/>
        </w:rPr>
      </w:pPr>
    </w:p>
    <w:p w:rsidR="00757C0E" w:rsidRDefault="00757C0E">
      <w:pPr>
        <w:rPr>
          <w:rFonts w:ascii="Tw Cen MT" w:hAnsi="Tw Cen MT"/>
          <w:b/>
          <w:bCs/>
        </w:rPr>
      </w:pPr>
      <w:r>
        <w:rPr>
          <w:rFonts w:ascii="Tw Cen MT" w:hAnsi="Tw Cen MT"/>
          <w:b/>
          <w:bCs/>
        </w:rPr>
        <w:t xml:space="preserve">Ich bestätige, ausreichende Informationen über die Bedeutung und möglichen Risiken der durchzuführenden Behandlung (Dry Needling) erhalten zu haben. </w:t>
      </w:r>
    </w:p>
    <w:p w:rsidR="00757C0E" w:rsidRDefault="00757C0E">
      <w:pPr>
        <w:rPr>
          <w:rFonts w:ascii="Tw Cen MT" w:hAnsi="Tw Cen MT"/>
          <w:b/>
          <w:bCs/>
        </w:rPr>
      </w:pPr>
      <w:r>
        <w:rPr>
          <w:rFonts w:ascii="Tw Cen MT" w:hAnsi="Tw Cen MT"/>
          <w:b/>
          <w:bCs/>
        </w:rPr>
        <w:t xml:space="preserve">Ich erhielt genügend Gelegenheit, mögliche Fragen zu stellen und erhielt diese nachvollziehbar beantwortet. </w:t>
      </w:r>
    </w:p>
    <w:p w:rsidR="00757C0E" w:rsidRDefault="00757C0E">
      <w:pPr>
        <w:rPr>
          <w:rFonts w:ascii="Tw Cen MT" w:hAnsi="Tw Cen MT"/>
        </w:rPr>
      </w:pPr>
      <w:r>
        <w:rPr>
          <w:rFonts w:ascii="Tw Cen MT" w:hAnsi="Tw Cen MT"/>
          <w:b/>
          <w:bCs/>
        </w:rPr>
        <w:t xml:space="preserve">Ich erkläre mich mit der Durchführung der Behandlung (Dry Needling) einverstanden. </w:t>
      </w:r>
    </w:p>
    <w:p w:rsidR="00757C0E" w:rsidRDefault="00757C0E">
      <w:pPr>
        <w:rPr>
          <w:rFonts w:ascii="Tw Cen MT" w:hAnsi="Tw Cen MT"/>
        </w:rPr>
      </w:pPr>
    </w:p>
    <w:p w:rsidR="00757C0E" w:rsidRDefault="00757C0E">
      <w:pPr>
        <w:rPr>
          <w:rFonts w:ascii="Tw Cen MT" w:hAnsi="Tw Cen MT"/>
        </w:rPr>
      </w:pPr>
    </w:p>
    <w:p w:rsidR="00757C0E" w:rsidRDefault="00757C0E">
      <w:pPr>
        <w:rPr>
          <w:rFonts w:ascii="Tw Cen MT" w:hAnsi="Tw Cen MT"/>
        </w:rPr>
      </w:pPr>
    </w:p>
    <w:p w:rsidR="00757C0E" w:rsidRDefault="00757C0E">
      <w:pPr>
        <w:rPr>
          <w:rFonts w:ascii="Tw Cen MT" w:hAnsi="Tw Cen MT"/>
          <w:sz w:val="20"/>
          <w:szCs w:val="20"/>
        </w:rPr>
      </w:pPr>
      <w:r>
        <w:rPr>
          <w:rFonts w:ascii="Tw Cen MT" w:hAnsi="Tw Cen MT"/>
        </w:rPr>
        <w:t xml:space="preserve">_____________________ </w:t>
      </w:r>
      <w:r>
        <w:rPr>
          <w:rFonts w:ascii="Tw Cen MT" w:hAnsi="Tw Cen MT"/>
        </w:rPr>
        <w:tab/>
        <w:t>__________________________</w:t>
      </w:r>
      <w:r>
        <w:rPr>
          <w:rFonts w:ascii="Tw Cen MT" w:hAnsi="Tw Cen MT"/>
        </w:rPr>
        <w:tab/>
        <w:t>__________________________</w:t>
      </w:r>
    </w:p>
    <w:p w:rsidR="00757C0E" w:rsidRDefault="00757C0E">
      <w:pPr>
        <w:rPr>
          <w:rFonts w:ascii="Tw Cen MT" w:hAnsi="Tw Cen MT"/>
          <w:sz w:val="21"/>
          <w:szCs w:val="21"/>
        </w:rPr>
      </w:pPr>
      <w:r>
        <w:rPr>
          <w:rFonts w:ascii="Tw Cen MT" w:hAnsi="Tw Cen MT"/>
          <w:sz w:val="20"/>
          <w:szCs w:val="20"/>
        </w:rPr>
        <w:t xml:space="preserve">Ort, Datum </w:t>
      </w:r>
      <w:r>
        <w:rPr>
          <w:rFonts w:ascii="Tw Cen MT" w:hAnsi="Tw Cen MT"/>
          <w:sz w:val="20"/>
          <w:szCs w:val="20"/>
        </w:rPr>
        <w:tab/>
      </w:r>
      <w:r>
        <w:rPr>
          <w:rFonts w:ascii="Tw Cen MT" w:hAnsi="Tw Cen MT"/>
          <w:sz w:val="20"/>
          <w:szCs w:val="20"/>
        </w:rPr>
        <w:tab/>
      </w:r>
      <w:r>
        <w:rPr>
          <w:rFonts w:ascii="Tw Cen MT" w:hAnsi="Tw Cen MT"/>
          <w:sz w:val="20"/>
          <w:szCs w:val="20"/>
        </w:rPr>
        <w:tab/>
        <w:t xml:space="preserve">Unterschrift der Patientin/des Patienten </w:t>
      </w:r>
      <w:r>
        <w:rPr>
          <w:rFonts w:ascii="Tw Cen MT" w:hAnsi="Tw Cen MT"/>
          <w:sz w:val="20"/>
          <w:szCs w:val="20"/>
        </w:rPr>
        <w:tab/>
        <w:t>Unterschrift Therapeutin K. Jenuwein</w:t>
      </w:r>
    </w:p>
    <w:p w:rsidR="00757C0E" w:rsidRDefault="00757C0E">
      <w:pPr>
        <w:rPr>
          <w:rFonts w:ascii="Tw Cen MT" w:hAnsi="Tw Cen MT"/>
          <w:sz w:val="21"/>
          <w:szCs w:val="21"/>
        </w:rPr>
      </w:pPr>
    </w:p>
    <w:p w:rsidR="00757C0E" w:rsidRDefault="00757C0E">
      <w:pPr>
        <w:rPr>
          <w:rFonts w:ascii="Tw Cen MT" w:hAnsi="Tw Cen MT"/>
          <w:sz w:val="21"/>
          <w:szCs w:val="21"/>
        </w:rPr>
      </w:pPr>
    </w:p>
    <w:p w:rsidR="00757C0E" w:rsidRDefault="00757C0E">
      <w:pPr>
        <w:rPr>
          <w:rFonts w:ascii="Tw Cen MT" w:hAnsi="Tw Cen MT"/>
          <w:sz w:val="21"/>
          <w:szCs w:val="21"/>
        </w:rPr>
      </w:pPr>
      <w:r>
        <w:rPr>
          <w:rFonts w:ascii="Tw Cen MT" w:hAnsi="Tw Cen MT"/>
          <w:sz w:val="21"/>
          <w:szCs w:val="21"/>
        </w:rPr>
        <w:tab/>
      </w:r>
      <w:r>
        <w:rPr>
          <w:rFonts w:ascii="Tw Cen MT" w:hAnsi="Tw Cen MT"/>
          <w:sz w:val="21"/>
          <w:szCs w:val="21"/>
        </w:rPr>
        <w:tab/>
      </w:r>
      <w:r>
        <w:rPr>
          <w:rFonts w:ascii="Tw Cen MT" w:hAnsi="Tw Cen MT"/>
          <w:sz w:val="21"/>
          <w:szCs w:val="21"/>
        </w:rPr>
        <w:tab/>
      </w:r>
      <w:r>
        <w:rPr>
          <w:rFonts w:ascii="Tw Cen MT" w:hAnsi="Tw Cen MT"/>
          <w:sz w:val="21"/>
          <w:szCs w:val="21"/>
        </w:rPr>
        <w:tab/>
      </w:r>
      <w:r>
        <w:rPr>
          <w:rFonts w:ascii="Tw Cen MT" w:hAnsi="Tw Cen MT"/>
          <w:sz w:val="21"/>
          <w:szCs w:val="21"/>
        </w:rPr>
        <w:tab/>
      </w:r>
      <w:r>
        <w:rPr>
          <w:rFonts w:ascii="Tw Cen MT" w:hAnsi="Tw Cen MT"/>
          <w:sz w:val="21"/>
          <w:szCs w:val="21"/>
        </w:rPr>
        <w:tab/>
      </w:r>
    </w:p>
    <w:p w:rsidR="00757C0E" w:rsidRDefault="00757C0E">
      <w:pPr>
        <w:rPr>
          <w:rFonts w:ascii="Tw Cen MT" w:hAnsi="Tw Cen MT"/>
          <w:sz w:val="21"/>
          <w:szCs w:val="21"/>
        </w:rPr>
      </w:pPr>
      <w:r>
        <w:rPr>
          <w:rFonts w:ascii="Tw Cen MT" w:hAnsi="Tw Cen MT"/>
          <w:sz w:val="21"/>
          <w:szCs w:val="21"/>
        </w:rPr>
        <w:t xml:space="preserve">Heilpraxis ImPuls  /  Liliencronstr. 5  /  70619 Stuttgart    </w:t>
      </w:r>
    </w:p>
    <w:p w:rsidR="00757C0E" w:rsidRDefault="00757C0E">
      <w:pPr>
        <w:rPr>
          <w:rFonts w:ascii="Tw Cen MT" w:hAnsi="Tw Cen MT"/>
          <w:sz w:val="21"/>
          <w:szCs w:val="21"/>
        </w:rPr>
      </w:pPr>
    </w:p>
    <w:p w:rsidR="00757C0E" w:rsidRDefault="00757C0E">
      <w:r>
        <w:rPr>
          <w:rFonts w:ascii="Tw Cen MT" w:hAnsi="Tw Cen MT"/>
          <w:sz w:val="21"/>
          <w:szCs w:val="21"/>
        </w:rPr>
        <w:t xml:space="preserve">Stand </w:t>
      </w:r>
      <w:r w:rsidR="003812E5">
        <w:rPr>
          <w:rFonts w:ascii="Tw Cen MT" w:hAnsi="Tw Cen MT"/>
          <w:sz w:val="21"/>
          <w:szCs w:val="21"/>
        </w:rPr>
        <w:t xml:space="preserve">Oktober </w:t>
      </w:r>
      <w:r>
        <w:rPr>
          <w:rFonts w:ascii="Tw Cen MT" w:hAnsi="Tw Cen MT"/>
          <w:sz w:val="21"/>
          <w:szCs w:val="21"/>
        </w:rPr>
        <w:t>202</w:t>
      </w:r>
      <w:r w:rsidR="003812E5">
        <w:rPr>
          <w:rFonts w:ascii="Tw Cen MT" w:hAnsi="Tw Cen MT"/>
          <w:sz w:val="21"/>
          <w:szCs w:val="21"/>
        </w:rPr>
        <w:t>3</w:t>
      </w:r>
    </w:p>
    <w:sectPr w:rsidR="00757C0E">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919" w:rsidRDefault="00F56919" w:rsidP="00C5676E">
      <w:r>
        <w:separator/>
      </w:r>
    </w:p>
  </w:endnote>
  <w:endnote w:type="continuationSeparator" w:id="0">
    <w:p w:rsidR="00F56919" w:rsidRDefault="00F56919" w:rsidP="00C5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20B0604020202020204"/>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76E" w:rsidRDefault="00C5676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76E" w:rsidRDefault="00C5676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76E" w:rsidRDefault="00C5676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919" w:rsidRDefault="00F56919" w:rsidP="00C5676E">
      <w:r>
        <w:separator/>
      </w:r>
    </w:p>
  </w:footnote>
  <w:footnote w:type="continuationSeparator" w:id="0">
    <w:p w:rsidR="00F56919" w:rsidRDefault="00F56919" w:rsidP="00C56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76E" w:rsidRDefault="00C5676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76E" w:rsidRDefault="00C5676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76E" w:rsidRDefault="00C5676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2E5"/>
    <w:rsid w:val="0025372C"/>
    <w:rsid w:val="003812E5"/>
    <w:rsid w:val="00757C0E"/>
    <w:rsid w:val="00C5676E"/>
    <w:rsid w:val="00F569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2EDF2E7D-77E1-F548-BB5F-BD033B684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pPr>
    <w:rPr>
      <w:rFonts w:eastAsia="SimSun" w:cs="Lucida Sans"/>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ufzhlungszeichen1">
    <w:name w:val="Aufzählungszeichen1"/>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styleId="Kopfzeile">
    <w:name w:val="header"/>
    <w:basedOn w:val="Standard"/>
    <w:link w:val="KopfzeileZchn"/>
    <w:uiPriority w:val="99"/>
    <w:unhideWhenUsed/>
    <w:rsid w:val="00C5676E"/>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C5676E"/>
    <w:rPr>
      <w:rFonts w:eastAsia="SimSun" w:cs="Mangal"/>
      <w:kern w:val="1"/>
      <w:sz w:val="24"/>
      <w:szCs w:val="21"/>
      <w:lang w:eastAsia="hi-IN" w:bidi="hi-IN"/>
    </w:rPr>
  </w:style>
  <w:style w:type="paragraph" w:styleId="Fuzeile">
    <w:name w:val="footer"/>
    <w:basedOn w:val="Standard"/>
    <w:link w:val="FuzeileZchn"/>
    <w:uiPriority w:val="99"/>
    <w:unhideWhenUsed/>
    <w:rsid w:val="00C5676E"/>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C5676E"/>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1762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Jenuwein</dc:creator>
  <cp:keywords/>
  <cp:lastModifiedBy>Microsoft Office User</cp:lastModifiedBy>
  <cp:revision>2</cp:revision>
  <cp:lastPrinted>2021-11-14T17:33:00Z</cp:lastPrinted>
  <dcterms:created xsi:type="dcterms:W3CDTF">2024-01-17T14:34:00Z</dcterms:created>
  <dcterms:modified xsi:type="dcterms:W3CDTF">2024-01-17T14:34:00Z</dcterms:modified>
</cp:coreProperties>
</file>